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eading 2"/>
        <w:bidi w:val="0"/>
      </w:pPr>
      <w:r>
        <w:rPr>
          <w:rtl w:val="0"/>
        </w:rPr>
        <w:t>September 2016</w:t>
      </w:r>
      <w:r>
        <w:drawing>
          <wp:anchor distT="57150" distB="57150" distL="57150" distR="57150" simplePos="0" relativeHeight="251659264" behindDoc="0" locked="0" layoutInCell="1" allowOverlap="1">
            <wp:simplePos x="0" y="0"/>
            <wp:positionH relativeFrom="margin">
              <wp:posOffset>3833987</wp:posOffset>
            </wp:positionH>
            <wp:positionV relativeFrom="page">
              <wp:posOffset>221715</wp:posOffset>
            </wp:positionV>
            <wp:extent cx="1286497" cy="1715329"/>
            <wp:effectExtent l="0" t="0" r="0" b="0"/>
            <wp:wrapThrough wrapText="bothSides" distL="57150" distR="5715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4">
                      <a:extLst/>
                    </a:blip>
                    <a:stretch>
                      <a:fillRect/>
                    </a:stretch>
                  </pic:blipFill>
                  <pic:spPr>
                    <a:xfrm>
                      <a:off x="0" y="0"/>
                      <a:ext cx="1286497" cy="1715329"/>
                    </a:xfrm>
                    <a:prstGeom prst="rect">
                      <a:avLst/>
                    </a:prstGeom>
                    <a:ln w="12700" cap="flat">
                      <a:noFill/>
                      <a:miter lim="400000"/>
                    </a:ln>
                    <a:effectLst/>
                  </pic:spPr>
                </pic:pic>
              </a:graphicData>
            </a:graphic>
          </wp:anchor>
        </w:drawing>
      </w:r>
    </w:p>
    <w:p>
      <w:pPr>
        <w:pStyle w:val="Body"/>
        <w:bidi w:val="0"/>
      </w:pPr>
      <w:r>
        <w:rPr>
          <w:rtl w:val="0"/>
        </w:rPr>
        <w:t>Margaret Stone - County Councillor for Clavering</w:t>
      </w:r>
    </w:p>
    <w:p>
      <w:pPr>
        <w:pStyle w:val="Body"/>
        <w:bidi w:val="0"/>
      </w:pPr>
      <w:r>
        <w:rPr>
          <w:rtl w:val="0"/>
        </w:rPr>
        <w:t xml:space="preserve">Parish Council Report - </w:t>
      </w:r>
      <w:r>
        <w:rPr>
          <w:rtl w:val="0"/>
        </w:rPr>
        <w:t>September</w:t>
      </w:r>
      <w:r>
        <w:rPr>
          <w:rtl w:val="0"/>
        </w:rPr>
        <w:t xml:space="preserve"> 2016</w:t>
      </w:r>
    </w:p>
    <w:p>
      <w:pPr>
        <w:pStyle w:val="Body"/>
        <w:bidi w:val="0"/>
      </w:pPr>
      <w:r>
        <w:rPr>
          <w:rtl w:val="0"/>
        </w:rPr>
        <w:t>margaret.stone@norfolk.gov.uk</w:t>
      </w:r>
    </w:p>
    <w:p>
      <w:pPr>
        <w:pStyle w:val="Body"/>
        <w:bidi w:val="0"/>
      </w:pPr>
    </w:p>
    <w:p>
      <w:pPr>
        <w:pStyle w:val="Body"/>
        <w:bidi w:val="0"/>
      </w:pPr>
    </w:p>
    <w:p>
      <w:pPr>
        <w:pStyle w:val="Body"/>
        <w:bidi w:val="0"/>
      </w:pPr>
    </w:p>
    <w:p>
      <w:pPr>
        <w:pStyle w:val="Body"/>
        <w:bidi w:val="0"/>
      </w:pPr>
    </w:p>
    <w:p>
      <w:pPr>
        <w:pStyle w:val="Heading"/>
        <w:bidi w:val="0"/>
      </w:pPr>
      <w:r>
        <w:rPr>
          <w:rtl w:val="0"/>
        </w:rPr>
        <w:t>County Council Report</w:t>
      </w:r>
    </w:p>
    <w:p>
      <w:pPr>
        <w:pStyle w:val="Heading 3"/>
        <w:bidi w:val="0"/>
      </w:pPr>
      <w:r>
        <w:rPr>
          <w:rtl w:val="0"/>
        </w:rPr>
        <w:t>Devolution Response</w:t>
      </w:r>
    </w:p>
    <w:p>
      <w:pPr>
        <w:pStyle w:val="Body"/>
        <w:bidi w:val="0"/>
      </w:pPr>
      <w:r>
        <w:rPr>
          <w:rtl w:val="0"/>
        </w:rPr>
        <w:t>Views of Residents</w:t>
      </w:r>
    </w:p>
    <w:p>
      <w:pPr>
        <w:pStyle w:val="Body"/>
        <w:bidi w:val="0"/>
      </w:pPr>
      <w:r>
        <w:rPr>
          <w:rtl w:val="0"/>
        </w:rPr>
        <w:t>Highlights from Ipsos- MORI Residents Consultation</w:t>
      </w:r>
    </w:p>
    <w:p>
      <w:pPr>
        <w:pStyle w:val="Body"/>
        <w:bidi w:val="0"/>
      </w:pPr>
      <w:r>
        <w:rPr>
          <w:rtl w:val="0"/>
        </w:rPr>
        <w:t xml:space="preserve">• </w:t>
      </w:r>
      <w:r>
        <w:rPr>
          <w:rtl w:val="0"/>
        </w:rPr>
        <w:t>53% supported the principle of devolution while 16% expressed they opposed this.</w:t>
      </w:r>
    </w:p>
    <w:p>
      <w:pPr>
        <w:pStyle w:val="Body"/>
        <w:bidi w:val="0"/>
      </w:pPr>
      <w:r>
        <w:rPr>
          <w:rtl w:val="0"/>
        </w:rPr>
        <w:t xml:space="preserve">• </w:t>
      </w:r>
      <w:r>
        <w:rPr>
          <w:rtl w:val="0"/>
        </w:rPr>
        <w:t>There was strong support for more decisions to be taken locally across a range of issues with a new housing strategy (82%), development of new homes (75%), creating a transport plan (77%) and road maintenance (85%) being the top 4.</w:t>
      </w:r>
    </w:p>
    <w:p>
      <w:pPr>
        <w:pStyle w:val="Body"/>
        <w:bidi w:val="0"/>
      </w:pPr>
      <w:r>
        <w:rPr>
          <w:rtl w:val="0"/>
        </w:rPr>
        <w:t xml:space="preserve">• </w:t>
      </w:r>
      <w:r>
        <w:rPr>
          <w:rtl w:val="0"/>
        </w:rPr>
        <w:t>There was 52% support for a Mayor and 58% support for councils to come together as a Combined Authority. 29% opposed election of a Mayor and 25% opposed establishing a Combined Authority.</w:t>
      </w:r>
    </w:p>
    <w:p>
      <w:pPr>
        <w:pStyle w:val="Body"/>
        <w:bidi w:val="0"/>
      </w:pPr>
      <w:r>
        <w:rPr>
          <w:rtl w:val="0"/>
        </w:rPr>
        <w:t xml:space="preserve"> </w:t>
      </w:r>
    </w:p>
    <w:p>
      <w:pPr>
        <w:pStyle w:val="Body"/>
        <w:bidi w:val="0"/>
      </w:pPr>
      <w:r>
        <w:rPr>
          <w:rtl w:val="0"/>
        </w:rPr>
        <w:t>Highlights from Online Consultation</w:t>
      </w:r>
    </w:p>
    <w:p>
      <w:pPr>
        <w:pStyle w:val="Body"/>
        <w:bidi w:val="0"/>
      </w:pPr>
      <w:r>
        <w:rPr>
          <w:rtl w:val="0"/>
        </w:rPr>
        <w:t xml:space="preserve"> </w:t>
      </w:r>
    </w:p>
    <w:p>
      <w:pPr>
        <w:pStyle w:val="Body"/>
        <w:bidi w:val="0"/>
      </w:pPr>
      <w:r>
        <w:rPr>
          <w:rtl w:val="0"/>
        </w:rPr>
        <w:t xml:space="preserve">• </w:t>
      </w:r>
      <w:r>
        <w:rPr>
          <w:rtl w:val="0"/>
        </w:rPr>
        <w:t>50.9% supported the principle of devolution while 38.7% expresses they opposed this.</w:t>
      </w:r>
    </w:p>
    <w:p>
      <w:pPr>
        <w:pStyle w:val="Body"/>
        <w:bidi w:val="0"/>
      </w:pPr>
      <w:r>
        <w:rPr>
          <w:rtl w:val="0"/>
        </w:rPr>
        <w:t xml:space="preserve">• </w:t>
      </w:r>
      <w:r>
        <w:rPr>
          <w:rtl w:val="0"/>
        </w:rPr>
        <w:t>There was a strong support for more decisions to be taken locally across a range of issues with most support being shown for roads maintenance (74.6%), developing a new housing strategy (71%), development of new homes (69.7%) and creating a transport plan (65%)</w:t>
      </w:r>
    </w:p>
    <w:p>
      <w:pPr>
        <w:pStyle w:val="Body"/>
        <w:bidi w:val="0"/>
      </w:pPr>
      <w:r>
        <w:rPr>
          <w:rtl w:val="0"/>
        </w:rPr>
        <w:t xml:space="preserve">• </w:t>
      </w:r>
      <w:r>
        <w:rPr>
          <w:rtl w:val="0"/>
        </w:rPr>
        <w:t>There was 26.7% support for a Mayor and 34.9% support for councils to come together as a Combined Authority</w:t>
      </w:r>
    </w:p>
    <w:p>
      <w:pPr>
        <w:pStyle w:val="Body"/>
        <w:bidi w:val="0"/>
      </w:pPr>
      <w:r>
        <w:rPr>
          <w:rtl w:val="0"/>
        </w:rPr>
        <w:t xml:space="preserve"> </w:t>
      </w:r>
    </w:p>
    <w:p>
      <w:pPr>
        <w:pStyle w:val="Body"/>
        <w:bidi w:val="0"/>
      </w:pPr>
      <w:r>
        <w:rPr>
          <w:rtl w:val="0"/>
        </w:rPr>
        <w:t xml:space="preserve"> </w:t>
      </w:r>
    </w:p>
    <w:p>
      <w:pPr>
        <w:pStyle w:val="Body"/>
        <w:bidi w:val="0"/>
      </w:pPr>
      <w:r>
        <w:rPr>
          <w:rtl w:val="0"/>
        </w:rPr>
        <w:t>Views of Businesses</w:t>
      </w:r>
    </w:p>
    <w:p>
      <w:pPr>
        <w:pStyle w:val="Body"/>
        <w:bidi w:val="0"/>
      </w:pPr>
      <w:r>
        <w:rPr>
          <w:rtl w:val="0"/>
        </w:rPr>
        <w:t>Highlights from Ipsos- MORI Business Consultation</w:t>
      </w:r>
    </w:p>
    <w:p>
      <w:pPr>
        <w:pStyle w:val="Body"/>
        <w:bidi w:val="0"/>
      </w:pPr>
      <w:r>
        <w:rPr>
          <w:rtl w:val="0"/>
        </w:rPr>
        <w:t>250 businesses of various sizes across the two counties were also surveyed by Mori:</w:t>
      </w:r>
    </w:p>
    <w:p>
      <w:pPr>
        <w:pStyle w:val="Body"/>
        <w:bidi w:val="0"/>
      </w:pPr>
      <w:r>
        <w:rPr>
          <w:rtl w:val="0"/>
        </w:rPr>
        <w:t xml:space="preserve">• </w:t>
      </w:r>
      <w:r>
        <w:rPr>
          <w:rtl w:val="0"/>
        </w:rPr>
        <w:t>54% supported the principle of devolution while 12% expressed they opposed this.</w:t>
      </w:r>
    </w:p>
    <w:p>
      <w:pPr>
        <w:pStyle w:val="Body"/>
        <w:bidi w:val="0"/>
      </w:pPr>
      <w:r>
        <w:rPr>
          <w:rtl w:val="0"/>
        </w:rPr>
        <w:t xml:space="preserve">• </w:t>
      </w:r>
      <w:r>
        <w:rPr>
          <w:rtl w:val="0"/>
        </w:rPr>
        <w:t>Strong support for more decisions to be taken locally across a range of issues with decisions relating to road maintenance funding coming out on top.</w:t>
      </w:r>
    </w:p>
    <w:p>
      <w:pPr>
        <w:pStyle w:val="Body"/>
        <w:bidi w:val="0"/>
      </w:pPr>
      <w:r>
        <w:rPr>
          <w:rtl w:val="0"/>
        </w:rPr>
        <w:t xml:space="preserve">• </w:t>
      </w:r>
      <w:r>
        <w:rPr>
          <w:rtl w:val="0"/>
        </w:rPr>
        <w:t>59%supported councils joining together as a Combined Authority and 47% supportive of a mayor, with 27% opposed.</w:t>
      </w:r>
    </w:p>
    <w:p>
      <w:pPr>
        <w:pStyle w:val="Body"/>
        <w:bidi w:val="0"/>
      </w:pPr>
      <w:r>
        <w:rPr>
          <w:rtl w:val="0"/>
        </w:rPr>
        <w:t xml:space="preserve"> </w:t>
      </w:r>
    </w:p>
    <w:p>
      <w:pPr>
        <w:pStyle w:val="Body"/>
        <w:bidi w:val="0"/>
      </w:pPr>
      <w:r>
        <w:rPr>
          <w:rtl w:val="0"/>
        </w:rPr>
        <w:t>Letters of support from business and the wider public and voluntary sectors</w:t>
      </w:r>
    </w:p>
    <w:p>
      <w:pPr>
        <w:pStyle w:val="Body"/>
        <w:bidi w:val="0"/>
      </w:pPr>
      <w:r>
        <w:rPr>
          <w:rtl w:val="0"/>
        </w:rPr>
        <w:t>Business leaders with interests in Norfolk and Suffolk and leaders from the wider public and voluntary sector communities sent letters supporting devolution. Over 80 organisations endorsed a letter from the Norfolk and Suffolk Chambers and the LEP to Dr Andy Wood, the independent chair of the East Anglia Leaders</w:t>
      </w:r>
      <w:r>
        <w:rPr>
          <w:rtl w:val="0"/>
        </w:rPr>
        <w:t xml:space="preserve">’ </w:t>
      </w:r>
      <w:r>
        <w:rPr>
          <w:rtl w:val="0"/>
        </w:rPr>
        <w:t>Group, endorsing the devolution proposals as supporting the delivery of crucial projects to support economic growth, improve infrastructure and empowering the next generation with the skills to drive the economy. Many letters of support were received from the wider public sector and the voluntary sector including a number of higher education establishments, the University of East Anglia, the University of Suffolk, Clinical Commissioning groups, Visit East Anglia and Community Action Norfolk.</w:t>
      </w:r>
    </w:p>
    <w:p>
      <w:pPr>
        <w:pStyle w:val="Heading 3"/>
        <w:bidi w:val="0"/>
      </w:pPr>
      <w:r>
        <w:rPr>
          <w:rtl w:val="0"/>
        </w:rPr>
        <w:t>Adult Social Services</w:t>
      </w:r>
    </w:p>
    <w:p>
      <w:pPr>
        <w:pStyle w:val="Body"/>
        <w:bidi w:val="0"/>
      </w:pPr>
    </w:p>
    <w:p>
      <w:pPr>
        <w:pStyle w:val="Body"/>
        <w:bidi w:val="0"/>
      </w:pPr>
      <w:r>
        <w:rPr>
          <w:rtl w:val="0"/>
        </w:rPr>
        <w:t>Safeguarding Adults Awareness Week</w:t>
      </w:r>
    </w:p>
    <w:p>
      <w:pPr>
        <w:pStyle w:val="Body"/>
        <w:bidi w:val="0"/>
      </w:pPr>
    </w:p>
    <w:p>
      <w:pPr>
        <w:pStyle w:val="Body"/>
        <w:bidi w:val="0"/>
      </w:pPr>
      <w:r>
        <w:rPr>
          <w:rtl w:val="0"/>
        </w:rPr>
        <w:t xml:space="preserve">2016 - Monday 12 to 16 September </w:t>
      </w:r>
    </w:p>
    <w:p>
      <w:pPr>
        <w:pStyle w:val="Body"/>
        <w:bidi w:val="0"/>
      </w:pPr>
      <w:r>
        <w:rPr>
          <w:rtl w:val="0"/>
        </w:rPr>
        <w:t>The Safeguarding Adults Awareness Week (SAAW) is a key event in the board's calendar. The aim is simple - to increase awareness about the issue of adult abuse and harm as widely as possible, across all sectors and communities in Norfolk, to help support the public in identifying and reporting concerns. We want to tap into every network we have to say Speak Up against abuse.</w:t>
      </w:r>
    </w:p>
    <w:p>
      <w:pPr>
        <w:pStyle w:val="Body"/>
        <w:bidi w:val="0"/>
      </w:pPr>
    </w:p>
    <w:p>
      <w:pPr>
        <w:pStyle w:val="Body"/>
        <w:bidi w:val="0"/>
      </w:pPr>
      <w:r>
        <w:rPr>
          <w:rtl w:val="0"/>
        </w:rPr>
        <w:t>Across the county there will be a number of events taking place from disturbing information at supermarkets to a large conference on Friday 16 September.</w:t>
      </w:r>
    </w:p>
    <w:p>
      <w:pPr>
        <w:pStyle w:val="Body"/>
        <w:bidi w:val="0"/>
      </w:pPr>
    </w:p>
    <w:p>
      <w:pPr>
        <w:pStyle w:val="Body"/>
        <w:bidi w:val="0"/>
      </w:pPr>
      <w:r>
        <w:rPr>
          <w:rtl w:val="0"/>
        </w:rPr>
        <w:t xml:space="preserve">Spotlight to be shone on self neglect and hoarding for Safeguarding Adults Awareness </w:t>
      </w:r>
      <w:r>
        <w:rPr>
          <w:rtl w:val="0"/>
        </w:rPr>
        <w:t xml:space="preserve"> </w:t>
      </w:r>
    </w:p>
    <w:p>
      <w:pPr>
        <w:pStyle w:val="Heading 3"/>
        <w:bidi w:val="0"/>
      </w:pPr>
      <w:r>
        <w:rPr>
          <w:rtl w:val="0"/>
        </w:rPr>
        <w:t>Communities and Environment</w:t>
      </w:r>
    </w:p>
    <w:p>
      <w:pPr>
        <w:pStyle w:val="Body"/>
        <w:bidi w:val="0"/>
      </w:pPr>
      <w:r>
        <w:rPr>
          <w:rtl w:val="0"/>
        </w:rPr>
        <w:t xml:space="preserve">Councillors to consider ash dieback disease </w:t>
      </w:r>
    </w:p>
    <w:p>
      <w:pPr>
        <w:pStyle w:val="Body"/>
        <w:bidi w:val="0"/>
      </w:pPr>
      <w:r>
        <w:rPr>
          <w:rtl w:val="0"/>
        </w:rPr>
        <w:t>Members will consider measures which will allow the county council to effectively manage the implications of Chalara which is already affecting trees in Norfolk. These measures could include seeking financial support from Defra, and looking at how the county council can work with landowners to minimise costs to the authority</w:t>
      </w:r>
    </w:p>
    <w:p>
      <w:pPr>
        <w:pStyle w:val="Body"/>
        <w:bidi w:val="0"/>
      </w:pPr>
      <w:r>
        <w:rPr>
          <w:rtl w:val="0"/>
        </w:rPr>
        <w:t>Norfolk was one of the first areas in the country where Chalara was identified and councillors will hear how Norfolk is leading the way nationally in work to tackle the problem. Details of our methodology and early survey results were well received at the national Ash Dieback Safety Intervention Meeting organised by Defra, and national body the Tree Council, are now keen to share our methodology with other authorities in the country.</w:t>
      </w:r>
    </w:p>
    <w:p>
      <w:pPr>
        <w:pStyle w:val="Body"/>
        <w:bidi w:val="0"/>
      </w:pPr>
      <w:r>
        <w:rPr>
          <w:rtl w:val="0"/>
        </w:rPr>
        <w:t>The County Council has a responsibility to maintain the public highway and require owners of private trees to make safe dangerous trees in the interests of public safety. The current three year plan of work, will allow the county council to identify and assess the condition of ash trees adjacent to the County</w:t>
      </w:r>
      <w:r>
        <w:rPr>
          <w:rtl w:val="0"/>
        </w:rPr>
        <w:t>’</w:t>
      </w:r>
      <w:r>
        <w:rPr>
          <w:rtl w:val="0"/>
        </w:rPr>
        <w:t>s 6000 miles of roads and footpaths.</w:t>
      </w:r>
    </w:p>
    <w:p>
      <w:pPr>
        <w:pStyle w:val="Heading 3"/>
        <w:bidi w:val="0"/>
      </w:pPr>
      <w:r>
        <w:rPr>
          <w:rtl w:val="0"/>
        </w:rPr>
        <w:t xml:space="preserve">Recycling </w:t>
      </w:r>
    </w:p>
    <w:p>
      <w:pPr>
        <w:pStyle w:val="Body"/>
        <w:bidi w:val="0"/>
      </w:pPr>
    </w:p>
    <w:p>
      <w:pPr>
        <w:pStyle w:val="Body"/>
        <w:bidi w:val="0"/>
      </w:pPr>
      <w:r>
        <w:rPr>
          <w:rtl w:val="0"/>
        </w:rPr>
        <w:t>05 September 2016</w:t>
      </w:r>
    </w:p>
    <w:p>
      <w:pPr>
        <w:pStyle w:val="Body"/>
        <w:bidi w:val="0"/>
      </w:pPr>
    </w:p>
    <w:p>
      <w:pPr>
        <w:pStyle w:val="Body"/>
        <w:bidi w:val="0"/>
      </w:pPr>
      <w:r>
        <w:rPr>
          <w:rtl w:val="0"/>
        </w:rPr>
        <w:t>From October, Mile Cross recycling centre in Norwich will start running a simplified winter and summer schedule, and opening hours will be as follows:</w:t>
      </w:r>
    </w:p>
    <w:p>
      <w:pPr>
        <w:pStyle w:val="Body"/>
        <w:bidi w:val="0"/>
      </w:pPr>
    </w:p>
    <w:p>
      <w:pPr>
        <w:pStyle w:val="Body"/>
        <w:bidi w:val="0"/>
      </w:pPr>
      <w:r>
        <w:rPr>
          <w:rtl w:val="0"/>
        </w:rPr>
        <w:t>09:00 - 17:00 1 October to 31 March</w:t>
      </w:r>
    </w:p>
    <w:p>
      <w:pPr>
        <w:pStyle w:val="Body"/>
        <w:bidi w:val="0"/>
      </w:pPr>
    </w:p>
    <w:p>
      <w:pPr>
        <w:pStyle w:val="Body"/>
        <w:bidi w:val="0"/>
      </w:pPr>
      <w:r>
        <w:rPr>
          <w:rtl w:val="0"/>
        </w:rPr>
        <w:t>09:00 - 19:30 1 April to 30 SeptemberThe changes will do away with a timetable which altered six times a year and will bring it into line with the other recycling centres in the county which operate a summer and winter schedule.</w:t>
      </w:r>
    </w:p>
    <w:p>
      <w:pPr>
        <w:pStyle w:val="Body"/>
        <w:bidi w:val="0"/>
      </w:pPr>
    </w:p>
    <w:p>
      <w:pPr>
        <w:pStyle w:val="Body"/>
        <w:bidi w:val="0"/>
      </w:pPr>
      <w:r>
        <w:rPr>
          <w:rtl w:val="0"/>
        </w:rPr>
        <w:t>However, as Mile Cross serves the large population of Norwich - and being the busiest site in the network - it will continue to be open for longer during the summer than Norfolk's other recycling</w:t>
      </w:r>
      <w:r>
        <w:rPr>
          <w:rtl w:val="0"/>
        </w:rPr>
        <w:t xml:space="preserve"> </w:t>
      </w:r>
      <w:r>
        <w:rPr>
          <w:rtl w:val="0"/>
        </w:rPr>
        <w:t>cent www.norfolk.gov.uk/recyclingcentres for information about the opening hours at Mile Cross</w:t>
      </w:r>
    </w:p>
    <w:p>
      <w:pPr>
        <w:pStyle w:val="Body"/>
        <w:bidi w:val="0"/>
      </w:pPr>
      <w:r>
        <w:rPr>
          <w:rtl w:val="0"/>
        </w:rPr>
        <w:t>Financial issues</w:t>
      </w:r>
    </w:p>
    <w:p>
      <w:pPr>
        <w:pStyle w:val="Body"/>
        <w:bidi w:val="0"/>
      </w:pPr>
    </w:p>
    <w:p>
      <w:pPr>
        <w:pStyle w:val="Body"/>
        <w:bidi w:val="0"/>
      </w:pPr>
    </w:p>
    <w:p>
      <w:pPr>
        <w:pStyle w:val="Body"/>
        <w:bidi w:val="0"/>
      </w:pPr>
    </w:p>
    <w:p>
      <w:pPr>
        <w:pStyle w:val="Body"/>
        <w:bidi w:val="0"/>
      </w:pPr>
      <w:r>
        <w:rPr>
          <w:rtl w:val="0"/>
        </w:rPr>
        <w:t>A new exhibition opening at the Museum of Norwich at the Bridewell on the 6 September celebrates 160 years of the YMCA</w:t>
      </w:r>
      <w:r>
        <w:rPr>
          <w:rtl w:val="0"/>
        </w:rPr>
        <w:t>’</w:t>
      </w:r>
      <w:r>
        <w:rPr>
          <w:rtl w:val="0"/>
        </w:rPr>
        <w:t>s charity work in the city. A group of young people who use the YMCA</w:t>
      </w:r>
      <w:r>
        <w:rPr>
          <w:rtl w:val="0"/>
        </w:rPr>
        <w:t>’</w:t>
      </w:r>
      <w:r>
        <w:rPr>
          <w:rtl w:val="0"/>
        </w:rPr>
        <w:t xml:space="preserve">s services have been working to research the history of the YMCA over the last five months, culminating in the exhibition. </w:t>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w:cs="Arial Unicode MS" w:hAnsi="Helvetica" w:eastAsia="Arial Unicode MS"/>
      <w:b w:val="1"/>
      <w:bCs w:val="1"/>
      <w:i w:val="0"/>
      <w:iCs w:val="0"/>
      <w:caps w:val="0"/>
      <w:smallCaps w:val="0"/>
      <w:strike w:val="0"/>
      <w:dstrike w:val="0"/>
      <w:outline w:val="0"/>
      <w:color w:val="000000"/>
      <w:spacing w:val="0"/>
      <w:kern w:val="0"/>
      <w:position w:val="0"/>
      <w:sz w:val="32"/>
      <w:szCs w:val="32"/>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Arial Unicode MS" w:hAnsi="Helvetica" w:eastAsia="Arial Unicode MS"/>
      <w:b w:val="1"/>
      <w:bCs w:val="1"/>
      <w:i w:val="0"/>
      <w:iCs w:val="0"/>
      <w:caps w:val="0"/>
      <w:smallCaps w:val="0"/>
      <w:strike w:val="0"/>
      <w:dstrike w:val="0"/>
      <w:outline w:val="0"/>
      <w:color w:val="000000"/>
      <w:spacing w:val="0"/>
      <w:kern w:val="0"/>
      <w:position w:val="0"/>
      <w:sz w:val="36"/>
      <w:szCs w:val="36"/>
      <w:u w:val="none"/>
      <w:vertAlign w:val="baseline"/>
      <w:lang w:val="en-US"/>
    </w:rPr>
  </w:style>
  <w:style w:type="paragraph" w:styleId="Heading 3">
    <w:name w:val="Heading 3"/>
    <w:next w:val="Body"/>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Helvetica Light" w:cs="Arial Unicode MS" w:hAnsi="Helvetica Light" w:eastAsia="Arial Unicode MS"/>
      <w:b w:val="0"/>
      <w:bCs w:val="0"/>
      <w:i w:val="0"/>
      <w:iCs w:val="0"/>
      <w:caps w:val="0"/>
      <w:smallCaps w:val="0"/>
      <w:strike w:val="0"/>
      <w:dstrike w:val="0"/>
      <w:outline w:val="0"/>
      <w:color w:val="000000"/>
      <w:spacing w:val="5"/>
      <w:kern w:val="0"/>
      <w:position w:val="0"/>
      <w:sz w:val="28"/>
      <w:szCs w:val="28"/>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